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(ежеквартальный)</w:t>
      </w:r>
    </w:p>
    <w:p w:rsidR="004B5108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значения целевых показателей результативности и о расходах бюджета </w:t>
      </w:r>
      <w:proofErr w:type="spellStart"/>
      <w:r w:rsidR="00963A36">
        <w:rPr>
          <w:rFonts w:ascii="Times New Roman" w:hAnsi="Times New Roman" w:cs="Times New Roman"/>
          <w:b/>
          <w:bCs/>
          <w:sz w:val="24"/>
          <w:szCs w:val="24"/>
        </w:rPr>
        <w:t>Таицкого</w:t>
      </w:r>
      <w:proofErr w:type="spellEnd"/>
      <w:r w:rsidR="00963A3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963A36">
        <w:rPr>
          <w:rFonts w:ascii="Times New Roman" w:hAnsi="Times New Roman" w:cs="Times New Roman"/>
          <w:b/>
          <w:bCs/>
          <w:sz w:val="24"/>
          <w:szCs w:val="24"/>
        </w:rPr>
        <w:t xml:space="preserve">Гатчинского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Ленинградской области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>, источником финансового обеспечения которых является субсидия из областного бюджета Ленингр</w:t>
      </w:r>
      <w:r w:rsidR="00963A36">
        <w:rPr>
          <w:rFonts w:ascii="Times New Roman" w:hAnsi="Times New Roman" w:cs="Times New Roman"/>
          <w:b/>
          <w:bCs/>
          <w:sz w:val="24"/>
          <w:szCs w:val="24"/>
        </w:rPr>
        <w:t>адской области, предоставляемая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 целях </w:t>
      </w:r>
      <w:proofErr w:type="spellStart"/>
      <w:r w:rsidRPr="00475A6A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Pr="00475A6A">
        <w:rPr>
          <w:rFonts w:ascii="Times New Roman" w:hAnsi="Times New Roman" w:cs="Times New Roman"/>
          <w:b/>
          <w:sz w:val="24"/>
          <w:szCs w:val="24"/>
        </w:rPr>
        <w:t>от 14 декабря 2012 года № 95-оз «О содействии развитию</w:t>
      </w:r>
      <w:proofErr w:type="gramEnd"/>
      <w:r w:rsidRPr="00475A6A">
        <w:rPr>
          <w:rFonts w:ascii="Times New Roman" w:hAnsi="Times New Roman" w:cs="Times New Roman"/>
          <w:b/>
          <w:sz w:val="24"/>
          <w:szCs w:val="24"/>
        </w:rPr>
        <w:t xml:space="preserve">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</w:t>
      </w:r>
    </w:p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01.04.2018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0817B4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3A3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>нарастающим итогом)</w:t>
      </w:r>
    </w:p>
    <w:p w:rsidR="002A7D01" w:rsidRDefault="002A7D01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2"/>
        <w:gridCol w:w="904"/>
        <w:gridCol w:w="851"/>
        <w:gridCol w:w="1134"/>
        <w:gridCol w:w="1417"/>
        <w:gridCol w:w="1276"/>
        <w:gridCol w:w="1134"/>
        <w:gridCol w:w="992"/>
        <w:gridCol w:w="993"/>
        <w:gridCol w:w="1134"/>
        <w:gridCol w:w="992"/>
        <w:gridCol w:w="992"/>
        <w:gridCol w:w="1495"/>
      </w:tblGrid>
      <w:tr w:rsidR="00032781" w:rsidTr="002745C4">
        <w:trPr>
          <w:trHeight w:val="786"/>
        </w:trPr>
        <w:tc>
          <w:tcPr>
            <w:tcW w:w="1472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904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51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827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Сведения об объемах финансирования</w:t>
            </w:r>
          </w:p>
        </w:tc>
        <w:tc>
          <w:tcPr>
            <w:tcW w:w="3119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Исполнено на 01.04.2018г.</w:t>
            </w: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 (нарастающим итогом)</w:t>
            </w:r>
          </w:p>
        </w:tc>
        <w:tc>
          <w:tcPr>
            <w:tcW w:w="3118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Исполнено за последний квартал </w:t>
            </w:r>
            <w:r>
              <w:rPr>
                <w:rFonts w:ascii="Times New Roman" w:hAnsi="Times New Roman" w:cs="Times New Roman"/>
                <w:bCs/>
                <w:sz w:val="20"/>
              </w:rPr>
              <w:t>2018</w:t>
            </w: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 года</w:t>
            </w:r>
          </w:p>
        </w:tc>
        <w:tc>
          <w:tcPr>
            <w:tcW w:w="1495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D01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 (рублей)</w:t>
            </w:r>
          </w:p>
        </w:tc>
      </w:tr>
      <w:tr w:rsidR="002745C4" w:rsidTr="00963A36">
        <w:trPr>
          <w:trHeight w:val="786"/>
        </w:trPr>
        <w:tc>
          <w:tcPr>
            <w:tcW w:w="1472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1417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1276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495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5C4" w:rsidTr="00963A36">
        <w:trPr>
          <w:trHeight w:val="343"/>
        </w:trPr>
        <w:tc>
          <w:tcPr>
            <w:tcW w:w="147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95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745C4" w:rsidRPr="00CC085E" w:rsidTr="00963A36">
        <w:trPr>
          <w:trHeight w:val="343"/>
        </w:trPr>
        <w:tc>
          <w:tcPr>
            <w:tcW w:w="1472" w:type="dxa"/>
          </w:tcPr>
          <w:p w:rsidR="002A7D01" w:rsidRPr="00CC085E" w:rsidRDefault="00963A36" w:rsidP="00CC08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Ремонт переулков Зеленый, Солнечный, Музыкальный, Лесной, Совхозный в дер. Большая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Ивановка в щебеночном исполнении</w:t>
            </w:r>
          </w:p>
        </w:tc>
        <w:tc>
          <w:tcPr>
            <w:tcW w:w="904" w:type="dxa"/>
          </w:tcPr>
          <w:p w:rsidR="002A7D01" w:rsidRPr="00CC085E" w:rsidRDefault="00963A36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900</w:t>
            </w:r>
            <w:r w:rsidR="00CC085E" w:rsidRPr="00CC085E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851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:rsidR="002A7D01" w:rsidRPr="00CC085E" w:rsidRDefault="00963A36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800 </w:t>
            </w:r>
            <w:r w:rsidR="002A7D01" w:rsidRPr="00CC085E">
              <w:rPr>
                <w:rFonts w:ascii="Times New Roman" w:hAnsi="Times New Roman" w:cs="Times New Roman"/>
                <w:bCs/>
                <w:sz w:val="20"/>
              </w:rPr>
              <w:t>000,00</w:t>
            </w:r>
          </w:p>
        </w:tc>
        <w:tc>
          <w:tcPr>
            <w:tcW w:w="1417" w:type="dxa"/>
          </w:tcPr>
          <w:p w:rsidR="002A7D01" w:rsidRPr="00CC085E" w:rsidRDefault="00963A36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643 600,00</w:t>
            </w:r>
          </w:p>
        </w:tc>
        <w:tc>
          <w:tcPr>
            <w:tcW w:w="1276" w:type="dxa"/>
          </w:tcPr>
          <w:p w:rsidR="002A7D01" w:rsidRPr="00CC085E" w:rsidRDefault="00963A36" w:rsidP="00963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156 400, 00</w:t>
            </w:r>
          </w:p>
        </w:tc>
        <w:tc>
          <w:tcPr>
            <w:tcW w:w="1134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CC085E" w:rsidRDefault="00963A36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643 400,00</w:t>
            </w:r>
          </w:p>
        </w:tc>
      </w:tr>
      <w:tr w:rsidR="002745C4" w:rsidRPr="00CC085E" w:rsidTr="00963A36">
        <w:trPr>
          <w:trHeight w:val="343"/>
        </w:trPr>
        <w:tc>
          <w:tcPr>
            <w:tcW w:w="1472" w:type="dxa"/>
          </w:tcPr>
          <w:p w:rsidR="002A7D01" w:rsidRPr="00CC085E" w:rsidRDefault="00CC085E" w:rsidP="00CC08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85E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04" w:type="dxa"/>
          </w:tcPr>
          <w:p w:rsidR="002A7D01" w:rsidRPr="00CC085E" w:rsidRDefault="00CC085E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A7D01" w:rsidRPr="00CC085E" w:rsidRDefault="00CC085E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2A7D01" w:rsidRDefault="00963A36" w:rsidP="002A7D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800 000,00</w:t>
            </w:r>
          </w:p>
          <w:p w:rsidR="00CC085E" w:rsidRPr="00CC085E" w:rsidRDefault="00CC085E" w:rsidP="002A7D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A7D01" w:rsidRDefault="00963A36" w:rsidP="002A7D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643 600,00</w:t>
            </w:r>
          </w:p>
          <w:p w:rsidR="00CC085E" w:rsidRPr="00CC085E" w:rsidRDefault="00CC085E" w:rsidP="002A7D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D01" w:rsidRDefault="00963A36" w:rsidP="002A7D0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156 400,00</w:t>
            </w:r>
          </w:p>
          <w:p w:rsidR="00CC085E" w:rsidRPr="00CC085E" w:rsidRDefault="00CC085E" w:rsidP="002A7D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963A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CC08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085E"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CC18A4" w:rsidRPr="00CC085E" w:rsidRDefault="00963A36" w:rsidP="00963A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643 400,00</w:t>
            </w:r>
          </w:p>
        </w:tc>
      </w:tr>
    </w:tbl>
    <w:p w:rsidR="00D6401D" w:rsidRDefault="00D6401D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7393"/>
      </w:tblGrid>
      <w:tr w:rsidR="00032781" w:rsidRPr="00CC085E" w:rsidTr="00B31D5B">
        <w:tc>
          <w:tcPr>
            <w:tcW w:w="7393" w:type="dxa"/>
          </w:tcPr>
          <w:p w:rsidR="00032781" w:rsidRPr="00CC085E" w:rsidRDefault="00032781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2781" w:rsidRPr="00CC085E" w:rsidRDefault="00032781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2781" w:rsidRPr="00CC085E" w:rsidRDefault="00963A36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И.о. г</w:t>
            </w:r>
            <w:r w:rsidR="00032781" w:rsidRPr="00CC085E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авы</w:t>
            </w:r>
            <w:r w:rsidR="00CC085E" w:rsidRPr="00CC085E">
              <w:rPr>
                <w:rFonts w:ascii="Times New Roman" w:eastAsia="Times New Roman" w:hAnsi="Times New Roman" w:cs="Times New Roman"/>
              </w:rPr>
              <w:t xml:space="preserve"> администрации  поселения: </w:t>
            </w:r>
            <w:r w:rsidR="00032781" w:rsidRPr="00CC085E">
              <w:rPr>
                <w:rFonts w:ascii="Times New Roman" w:eastAsia="Times New Roman" w:hAnsi="Times New Roman" w:cs="Times New Roman"/>
              </w:rPr>
              <w:t xml:space="preserve">_________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Т.В. Игнатенко</w:t>
            </w:r>
          </w:p>
          <w:p w:rsidR="00032781" w:rsidRPr="00CC085E" w:rsidRDefault="00032781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2781" w:rsidRPr="00CC085E" w:rsidRDefault="00032781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C085E">
              <w:rPr>
                <w:rFonts w:ascii="Times New Roman" w:eastAsia="Times New Roman" w:hAnsi="Times New Roman" w:cs="Times New Roman"/>
              </w:rPr>
              <w:t xml:space="preserve">Руководитель Финансового органа:    _________    </w:t>
            </w:r>
            <w:r w:rsidR="00963A36">
              <w:rPr>
                <w:rFonts w:ascii="Times New Roman" w:eastAsia="Times New Roman" w:hAnsi="Times New Roman" w:cs="Times New Roman"/>
                <w:u w:val="single"/>
              </w:rPr>
              <w:t>Г.М. Ивлева</w:t>
            </w:r>
          </w:p>
          <w:p w:rsidR="00032781" w:rsidRPr="00CC085E" w:rsidRDefault="00032781" w:rsidP="00B31D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85E" w:rsidRPr="00CC085E" w:rsidRDefault="00032781" w:rsidP="00CC085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C085E">
              <w:rPr>
                <w:rFonts w:ascii="Times New Roman" w:eastAsia="Times New Roman" w:hAnsi="Times New Roman" w:cs="Times New Roman"/>
              </w:rPr>
              <w:t xml:space="preserve">Исполнитель:  </w:t>
            </w:r>
            <w:r w:rsidR="00963A36">
              <w:rPr>
                <w:rFonts w:ascii="Times New Roman" w:eastAsia="Times New Roman" w:hAnsi="Times New Roman" w:cs="Times New Roman"/>
                <w:u w:val="single"/>
              </w:rPr>
              <w:t xml:space="preserve">Е.Н. </w:t>
            </w:r>
            <w:proofErr w:type="spellStart"/>
            <w:r w:rsidR="00963A36">
              <w:rPr>
                <w:rFonts w:ascii="Times New Roman" w:eastAsia="Times New Roman" w:hAnsi="Times New Roman" w:cs="Times New Roman"/>
                <w:u w:val="single"/>
              </w:rPr>
              <w:t>Турабова</w:t>
            </w:r>
            <w:proofErr w:type="spellEnd"/>
          </w:p>
          <w:p w:rsidR="00032781" w:rsidRPr="00CC085E" w:rsidRDefault="00963A36" w:rsidP="00CC085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8-81371 (52-737)</w:t>
            </w:r>
          </w:p>
        </w:tc>
        <w:tc>
          <w:tcPr>
            <w:tcW w:w="7393" w:type="dxa"/>
          </w:tcPr>
          <w:p w:rsidR="00032781" w:rsidRPr="00CC085E" w:rsidRDefault="00032781" w:rsidP="00B31D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32781" w:rsidRPr="00CC085E" w:rsidRDefault="00032781" w:rsidP="00B31D5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032781" w:rsidRDefault="00032781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Pr="00963A36" w:rsidRDefault="00F64B5B" w:rsidP="00CC085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64B5B" w:rsidRPr="00963A36" w:rsidSect="00F64B5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B5108" w:rsidRPr="00475A6A" w:rsidRDefault="004B5108" w:rsidP="00D3277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108" w:rsidRPr="00475A6A" w:rsidSect="00F64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53AF"/>
    <w:multiLevelType w:val="hybridMultilevel"/>
    <w:tmpl w:val="A1967FEA"/>
    <w:lvl w:ilvl="0" w:tplc="C17AEA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EBC"/>
    <w:rsid w:val="00032781"/>
    <w:rsid w:val="00063A54"/>
    <w:rsid w:val="000817B4"/>
    <w:rsid w:val="000A66F0"/>
    <w:rsid w:val="00236CDD"/>
    <w:rsid w:val="002745C4"/>
    <w:rsid w:val="002A7D01"/>
    <w:rsid w:val="003A5DEF"/>
    <w:rsid w:val="003B0F42"/>
    <w:rsid w:val="0047207C"/>
    <w:rsid w:val="004B5108"/>
    <w:rsid w:val="008867EE"/>
    <w:rsid w:val="00887A10"/>
    <w:rsid w:val="00906219"/>
    <w:rsid w:val="00912896"/>
    <w:rsid w:val="00963A36"/>
    <w:rsid w:val="00B7355D"/>
    <w:rsid w:val="00BE2EBC"/>
    <w:rsid w:val="00CC085E"/>
    <w:rsid w:val="00CC18A4"/>
    <w:rsid w:val="00D202B4"/>
    <w:rsid w:val="00D32772"/>
    <w:rsid w:val="00D6401D"/>
    <w:rsid w:val="00E412FA"/>
    <w:rsid w:val="00E81FDF"/>
    <w:rsid w:val="00EA07DF"/>
    <w:rsid w:val="00F64B5B"/>
    <w:rsid w:val="00FB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turabova</cp:lastModifiedBy>
  <cp:revision>2</cp:revision>
  <cp:lastPrinted>2018-04-04T15:00:00Z</cp:lastPrinted>
  <dcterms:created xsi:type="dcterms:W3CDTF">2018-04-04T15:01:00Z</dcterms:created>
  <dcterms:modified xsi:type="dcterms:W3CDTF">2018-04-04T15:01:00Z</dcterms:modified>
</cp:coreProperties>
</file>